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АНАЛІЗ</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2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регуляторного впливу до проєкту рішення Сквирської міської ради «Про затвердження порядку та нормативів відрахування частини чистого прибутку (доходу) комунальними підприємствами, що підлягає зарахуванню до бюджету Сквирської міської територіальної громади»</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23"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Аналіз регуляторного впливу проєкту рішення Сквирської міської ради «Про затвердження порядку та нормативів відрахування частини чистого прибутку (доходу) комунальними підприємствами, що підлягає зарахуванню до бюджету Сквирської міської територіальної громади»</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згідно з вимогами Закону України «Про засади державної регуляторної політики у сфері господарської діяльності», Методики проведення аналізу впливу та відстеження результативності регуляторного акту, затвердженої постановою Кабінету Міністрів України від 11 березня 2004 року №308.</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Проєкт розроблений відповідно до Податкового кодексу України з метою поповнення бюджету територіальної громади.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 Визначення проблеми</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Згідно з пунктом 29 частини1 статті 26 Закону України «Про місцеве самоврядування в Україні» задекларовано що встановлення для підприємств, установ та організацій, що належать до комунальної власності відповідних територіальних громад, розміру частки прибутку, яка підлягає зарахуванню до бюджету Сквирської міської територіальної громади відноситься до виключної компетенції місцевої ради.</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Проблема має вплив на підприємства комунальної власності, громаду та місцеву владу.</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Основними завданнями запропонованого проєкту рішення є забезпечення вимог чинного законодавства, дотримання принципів державної регуляторної політики, удосконалення системи відносин між органами місцевого самоврядування і суб’єктами господарювання, стабільності та повноти надходжень коштів до бюджету територіальної громади.</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Отже, з метою правового регулювання господарських і адміністративних відносин між органами місцевого самоврядування та підприємствами комунальної власності, а також виконання вимог Закону України «Про місцеве самоврядування в Україні».</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обліку перебуває 6 організацій, які  належать до комунальної власності громади та мають сплачувати частину чистого прибутку (доходу), що підлягає зарахуванню до бюджету Сквирської міської територіальної громади</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Прийняття цього регуляторного акта дасть можливість здійснювати контроль за додержанням правил розрахунку та сплати частини чистого прибутку (доходу) господарськими організаціями, які належать до комунальної власності, наповнити бюджет територіальної громади, що у свою чергу надасть можливість спрямувати отримані кошти на вирішення соціально-економічних проблем та покращити інфраструктуру територіальної громади.</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Основні групи (підгрупи), на які проблема справляє вплив:</w:t>
      </w:r>
      <w:r w:rsidDel="00000000" w:rsidR="00000000" w:rsidRPr="00000000">
        <w:rPr>
          <w:rtl w:val="0"/>
        </w:rPr>
      </w:r>
    </w:p>
    <w:tbl>
      <w:tblPr>
        <w:tblStyle w:val="Table1"/>
        <w:tblW w:w="9720.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77"/>
        <w:gridCol w:w="3277"/>
        <w:gridCol w:w="3166"/>
        <w:tblGridChange w:id="0">
          <w:tblGrid>
            <w:gridCol w:w="3277"/>
            <w:gridCol w:w="3277"/>
            <w:gridCol w:w="3166"/>
          </w:tblGrid>
        </w:tblGridChange>
      </w:tblGrid>
      <w:tr>
        <w:trPr>
          <w:cantSplit w:val="0"/>
          <w:tblHeader w:val="0"/>
        </w:trPr>
        <w:tc>
          <w:tcPr>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Групи (підгрупи)</w:t>
            </w:r>
            <w:r w:rsidDel="00000000" w:rsidR="00000000" w:rsidRPr="00000000">
              <w:rPr>
                <w:rtl w:val="0"/>
              </w:rPr>
            </w:r>
          </w:p>
        </w:tc>
        <w:tc>
          <w:tcPr>
            <w:vAlign w:val="top"/>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Так</w:t>
            </w:r>
            <w:r w:rsidDel="00000000" w:rsidR="00000000" w:rsidRPr="00000000">
              <w:rPr>
                <w:rtl w:val="0"/>
              </w:rPr>
            </w:r>
          </w:p>
        </w:tc>
        <w:tc>
          <w:tcPr>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Ні</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Громадяни</w:t>
            </w:r>
          </w:p>
        </w:tc>
        <w:tc>
          <w:tcPr>
            <w:vAlign w:val="top"/>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Держава</w:t>
            </w:r>
          </w:p>
        </w:tc>
        <w:tc>
          <w:tcPr>
            <w:vAlign w:val="top"/>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Суб'єкти господарювання,</w:t>
            </w:r>
          </w:p>
        </w:tc>
        <w:tc>
          <w:tcPr>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тому числі суб'єкти малого підприємництва*</w:t>
            </w:r>
          </w:p>
        </w:tc>
        <w:tc>
          <w:tcPr>
            <w:vAlign w:val="top"/>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top"/>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державному рівні не прийнято нормативного документу, який регулює порядок і норматив відрахування частини чистого прибутку (доходу) комунальними підприємствами або підприємствами, у статутному фондах є частка комунальної власності.</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Прийняття запропонованого рішення необхідно для забезпечення ефективного та цілеспрямованого використання прибутку комунальних підприємств, для чого слід прописати чіткий порядок і норматив відрахування частини чистого прибутку (доходу) комунальними підприємствами управління якими здійснює Сквирська міська рада.</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 Цілі державного регулювання</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Проєкт рішення про встановлення нормативу відрахувань є нормативно-правовим актом, який спрямований на удосконалення правового регулювання фінансових відносин перерахування частини чистого прибутку чи доходу до бюджету територіальної громади між міською радою та комунальними підприємствами.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65"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Цей регуляторний акт приймається з метою:</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затвердження порядку та нормативу відрахування частини чистого прибутку (доходу) до бюджету міської територіальної громади;</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збільшення обігових коштів комунальних підприємств;</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65"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ефективного використання комунального майна та здійснення  контролю.</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III. Визначення та оцінка альтернативних способів досягнення цілей</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ході пошуку альтернативних способів досягнення цілей для проведення оцінки прийняття даного регуляторного акта розглядається, як перша альтернатива -  не виносити на розгляд сесії міської ради та не приймати рішення міської ради (далі – Альтернатива 1), другою альтернативною є прийняття даного регуляторного акта (далі – Альтернатива 2).</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
        <w:tblW w:w="9540.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5580"/>
        <w:tblGridChange w:id="0">
          <w:tblGrid>
            <w:gridCol w:w="3960"/>
            <w:gridCol w:w="5580"/>
          </w:tblGrid>
        </w:tblGridChange>
      </w:tblGrid>
      <w:tr>
        <w:trPr>
          <w:cantSplit w:val="0"/>
          <w:tblHeader w:val="0"/>
        </w:trPr>
        <w:tc>
          <w:tcPr>
            <w:vAlign w:val="top"/>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5"/>
                <w:szCs w:val="25"/>
                <w:u w:val="none"/>
                <w:shd w:fill="auto" w:val="clear"/>
                <w:vertAlign w:val="baseline"/>
                <w:rtl w:val="0"/>
              </w:rPr>
              <w:t xml:space="preserve">Вид альтернативи</w:t>
            </w:r>
            <w:r w:rsidDel="00000000" w:rsidR="00000000" w:rsidRPr="00000000">
              <w:rPr>
                <w:rtl w:val="0"/>
              </w:rPr>
            </w:r>
          </w:p>
        </w:tc>
        <w:tc>
          <w:tcPr>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5"/>
                <w:szCs w:val="25"/>
                <w:u w:val="none"/>
                <w:shd w:fill="auto" w:val="clear"/>
                <w:vertAlign w:val="baseline"/>
                <w:rtl w:val="0"/>
              </w:rPr>
              <w:t xml:space="preserve">Опис альтернативи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Альтернатива 1.</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Не виносити на розгляд сесії міської ради та не приймати рішення міської ради «Про затвердження порядку та нормативів відрахування частини чистого прибутку (доходу) комунальними підприємствами, що підлягає зарахуванню до бюджету Сквирської міської територіальної громади»</w:t>
            </w:r>
          </w:p>
        </w:tc>
        <w:tc>
          <w:tcPr>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Така альтернатива є неприйнятною у зв’язку з тим що це призведе до дисбалансу про порядок і нормативів відрахування частини чистого прибутку (доходу) господарськими організаціями, які належать до комунальної власності на всій території Сквирської міської територіальної громади</w:t>
            </w:r>
          </w:p>
        </w:tc>
      </w:tr>
      <w:tr>
        <w:trPr>
          <w:cantSplit w:val="0"/>
          <w:tblHeader w:val="0"/>
        </w:trPr>
        <w:tc>
          <w:tcPr>
            <w:vAlign w:val="top"/>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Альтернатива 2</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Прийняття рішення «Про затвердження порядку та нормативів відрахування частини чистого прибутку (доходу) комунальними підприємствами, що підлягає зарахуванню до бюджету Сквирської міської територіальної громади»</w:t>
            </w:r>
          </w:p>
        </w:tc>
        <w:tc>
          <w:tcPr>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Прийняття даного рішення міської ради забезпечить досягнення встановлених цілей, чітких та прозорих механізмів відрахування частини чистого прибутку (доходу) господарськими організаціями, які належать до комунальної власності на території Сквирської  міської територіальної громади та відповідне наповнення бюджету.</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Після об’єднання громад доцільно переглянути єдиний підхід до встановлення порядку і нормативу відрахування частини чистого прибутку (доходу) господарськими організаціями, які належать до комунальної власності на всій території Сквирської міської територіальної громади.</w:t>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Оцінка вибраних альтернативних способів досягнення цілей</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Оцінка впливу на сферу інтересів держави</w:t>
      </w:r>
      <w:r w:rsidDel="00000000" w:rsidR="00000000" w:rsidRPr="00000000">
        <w:rPr>
          <w:rtl w:val="0"/>
        </w:rPr>
      </w:r>
    </w:p>
    <w:tbl>
      <w:tblPr>
        <w:tblStyle w:val="Table3"/>
        <w:tblW w:w="9720.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77"/>
        <w:gridCol w:w="3277"/>
        <w:gridCol w:w="3166"/>
        <w:tblGridChange w:id="0">
          <w:tblGrid>
            <w:gridCol w:w="3277"/>
            <w:gridCol w:w="3277"/>
            <w:gridCol w:w="3166"/>
          </w:tblGrid>
        </w:tblGridChange>
      </w:tblGrid>
      <w:tr>
        <w:trPr>
          <w:cantSplit w:val="0"/>
          <w:tblHeader w:val="0"/>
        </w:trPr>
        <w:tc>
          <w:tcPr>
            <w:vAlign w:val="top"/>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 альтернативи</w:t>
            </w:r>
            <w:r w:rsidDel="00000000" w:rsidR="00000000" w:rsidRPr="00000000">
              <w:rPr>
                <w:rtl w:val="0"/>
              </w:rPr>
            </w:r>
          </w:p>
        </w:tc>
        <w:tc>
          <w:tcPr>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Вигоди</w:t>
            </w:r>
            <w:r w:rsidDel="00000000" w:rsidR="00000000" w:rsidRPr="00000000">
              <w:rPr>
                <w:rtl w:val="0"/>
              </w:rPr>
            </w:r>
          </w:p>
        </w:tc>
        <w:tc>
          <w:tcPr>
            <w:vAlign w:val="top"/>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Витрати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1</w:t>
            </w:r>
          </w:p>
        </w:tc>
        <w:tc>
          <w:tcPr>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Відсутні</w:t>
            </w:r>
          </w:p>
        </w:tc>
        <w:tc>
          <w:tcPr>
            <w:vAlign w:val="top"/>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Відсутні</w:t>
            </w:r>
          </w:p>
        </w:tc>
      </w:tr>
      <w:tr>
        <w:trPr>
          <w:cantSplit w:val="0"/>
          <w:tblHeader w:val="0"/>
        </w:trPr>
        <w:tc>
          <w:tcPr>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2</w:t>
            </w:r>
          </w:p>
        </w:tc>
        <w:tc>
          <w:tcPr>
            <w:vAlign w:val="top"/>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1.Забезпечення відповідних надходжень до бюджету територіальної громади від сплати частини чистого прибутку.</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2.Створення фінансових можливостей міської влади для задоволення соціальних та інших потреб територіальної громади.</w:t>
            </w:r>
          </w:p>
        </w:tc>
        <w:tc>
          <w:tcPr>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Відсутні</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Оцінка впливу на сферу інтересів суб’єктів господарювання</w:t>
      </w:r>
      <w:r w:rsidDel="00000000" w:rsidR="00000000" w:rsidRPr="00000000">
        <w:rPr>
          <w:rtl w:val="0"/>
        </w:rPr>
      </w:r>
    </w:p>
    <w:tbl>
      <w:tblPr>
        <w:tblStyle w:val="Table4"/>
        <w:tblW w:w="9720.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16"/>
        <w:gridCol w:w="1266"/>
        <w:gridCol w:w="1269"/>
        <w:gridCol w:w="1123"/>
        <w:gridCol w:w="1127"/>
        <w:gridCol w:w="919"/>
        <w:tblGridChange w:id="0">
          <w:tblGrid>
            <w:gridCol w:w="4016"/>
            <w:gridCol w:w="1266"/>
            <w:gridCol w:w="1269"/>
            <w:gridCol w:w="1123"/>
            <w:gridCol w:w="1127"/>
            <w:gridCol w:w="91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Показник</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Великі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Середні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Малі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Мікро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Разом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Кількість суб’єктів господарювання, що підпадають під дію регулювання, одиниць</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Питома вага групи у загальній кількості, відсотків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Х</w:t>
            </w:r>
          </w:p>
        </w:tc>
      </w:tr>
    </w:tbl>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tbl>
      <w:tblPr>
        <w:tblStyle w:val="Table5"/>
        <w:tblW w:w="983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77"/>
        <w:gridCol w:w="3277"/>
        <w:gridCol w:w="3278"/>
        <w:tblGridChange w:id="0">
          <w:tblGrid>
            <w:gridCol w:w="3277"/>
            <w:gridCol w:w="3277"/>
            <w:gridCol w:w="3278"/>
          </w:tblGrid>
        </w:tblGridChange>
      </w:tblGrid>
      <w:tr>
        <w:trPr>
          <w:cantSplit w:val="0"/>
          <w:tblHeader w:val="0"/>
        </w:trPr>
        <w:tc>
          <w:tcPr>
            <w:vAlign w:val="top"/>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 альтернативи</w:t>
            </w:r>
            <w:r w:rsidDel="00000000" w:rsidR="00000000" w:rsidRPr="00000000">
              <w:rPr>
                <w:rtl w:val="0"/>
              </w:rPr>
            </w:r>
          </w:p>
        </w:tc>
        <w:tc>
          <w:tcPr>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Вигоди</w:t>
            </w:r>
            <w:r w:rsidDel="00000000" w:rsidR="00000000" w:rsidRPr="00000000">
              <w:rPr>
                <w:rtl w:val="0"/>
              </w:rPr>
            </w:r>
          </w:p>
        </w:tc>
        <w:tc>
          <w:tcPr>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Витрати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1</w:t>
            </w:r>
          </w:p>
        </w:tc>
        <w:tc>
          <w:tcPr>
            <w:vAlign w:val="top"/>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Відсутні</w:t>
            </w:r>
          </w:p>
        </w:tc>
        <w:tc>
          <w:tcPr>
            <w:vAlign w:val="top"/>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Відсутні</w:t>
            </w:r>
          </w:p>
        </w:tc>
      </w:tr>
      <w:tr>
        <w:trPr>
          <w:cantSplit w:val="0"/>
          <w:tblHeader w:val="0"/>
        </w:trPr>
        <w:tc>
          <w:tcPr>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2</w:t>
            </w:r>
          </w:p>
        </w:tc>
        <w:tc>
          <w:tcPr>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Прозорість процедури впровадження регуляторного акта.</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Визначення єдиного розміру відрахувань частини чистого прибутку (доходу) комунальними підприємствами</w:t>
            </w:r>
          </w:p>
        </w:tc>
        <w:tc>
          <w:tcPr>
            <w:vAlign w:val="top"/>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Обов’язкова сплата частини чистого прибутку (доходу) у межах, установлених чинним законодавством України. Додаткові витрати відсутні</w:t>
            </w:r>
          </w:p>
        </w:tc>
      </w:tr>
    </w:tb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4"/>
        </w:tabs>
        <w:spacing w:after="0" w:before="0" w:line="240" w:lineRule="auto"/>
        <w:ind w:left="0" w:right="0" w:firstLine="90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4"/>
        </w:tabs>
        <w:spacing w:after="0" w:before="0" w:line="240" w:lineRule="auto"/>
        <w:ind w:left="0" w:right="0" w:firstLine="9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Дія регуляторного акта не поширюється на суб’єктів господарювання великого й середнього підприємництва, тому розрахунки витрат на одного суб’єкта господарювання та бюджетних витрат на адміністрування зазначеної категорії відповідно до Методики проведення аналізу впливу регуляторного акта (постанова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не проводились.</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4"/>
        </w:tabs>
        <w:spacing w:after="0" w:before="0" w:line="240" w:lineRule="auto"/>
        <w:ind w:left="0" w:right="0" w:firstLine="9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IV. Вибір найбільш оптимального альтернативного </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141"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способу досягнення цілей</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Вартість балів визначається за чотирибальною системою оцінки ступеня досягнення визначених цілей, де:</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4 – цілі прийняття регуляторного акта, які можуть бути досягнуті повною мірою (проблема більше існувати не буде);</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3 – цілі прийняття регуляторного акта, які можуть бути досягнуті майже повною мірою (усі важливі аспекти проблеми існувати не будуть);</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 – цілі прийняття регуляторного акта, які можуть бути досягнуті частково (проблема значно зменшиться, деякі важливі та критичні аспекти проблеми залишаться невирішеними);</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 цілі прийняття регуляторного акта не можуть бути досягнуті (проблема продовжує існувати).</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6"/>
        <w:tblW w:w="9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77"/>
        <w:gridCol w:w="2951"/>
        <w:gridCol w:w="3600"/>
        <w:tblGridChange w:id="0">
          <w:tblGrid>
            <w:gridCol w:w="3277"/>
            <w:gridCol w:w="2951"/>
            <w:gridCol w:w="3600"/>
          </w:tblGrid>
        </w:tblGridChange>
      </w:tblGrid>
      <w:tr>
        <w:trPr>
          <w:cantSplit w:val="0"/>
          <w:tblHeader w:val="0"/>
        </w:trPr>
        <w:tc>
          <w:tcPr>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Рейтинг результативності (досягнення цілей під час вирішення проблеми)</w:t>
            </w:r>
            <w:r w:rsidDel="00000000" w:rsidR="00000000" w:rsidRPr="00000000">
              <w:rPr>
                <w:rtl w:val="0"/>
              </w:rPr>
            </w:r>
          </w:p>
        </w:tc>
        <w:tc>
          <w:tcPr>
            <w:vAlign w:val="top"/>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Бал результативності ( за чотирибальною системою оцінки)</w:t>
            </w:r>
            <w:r w:rsidDel="00000000" w:rsidR="00000000" w:rsidRPr="00000000">
              <w:rPr>
                <w:rtl w:val="0"/>
              </w:rPr>
            </w:r>
          </w:p>
        </w:tc>
        <w:tc>
          <w:tcPr>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Коментарі щодо присвоєння відповідного бала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1</w:t>
            </w:r>
          </w:p>
        </w:tc>
        <w:tc>
          <w:tcPr>
            <w:vAlign w:val="top"/>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Така альтернатива є неприйнятною та не сприяє розв’язанню визначеної проблеми.</w:t>
            </w:r>
          </w:p>
        </w:tc>
      </w:tr>
      <w:tr>
        <w:trPr>
          <w:cantSplit w:val="0"/>
          <w:tblHeader w:val="0"/>
        </w:trPr>
        <w:tc>
          <w:tcPr>
            <w:vAlign w:val="top"/>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2</w:t>
            </w:r>
          </w:p>
        </w:tc>
        <w:tc>
          <w:tcPr>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top"/>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Цей регуляторний акт відповідає потребам у розв’язанні визначеної проблеми та принципам державної регуляторної політики.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Упорядковує відносини між органами влади та комунальними підприємствами. Дозволить наповнювати бюджет територіальної громади власними надходженнями.</w:t>
            </w:r>
          </w:p>
        </w:tc>
      </w:tr>
    </w:tbl>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4"/>
        </w:tabs>
        <w:spacing w:after="0" w:before="0" w:line="240" w:lineRule="auto"/>
        <w:ind w:left="0" w:right="0" w:firstLine="90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Рейтинг результативності досягнення цілей</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7"/>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51"/>
        <w:gridCol w:w="2977"/>
        <w:gridCol w:w="2551"/>
        <w:gridCol w:w="2268"/>
        <w:tblGridChange w:id="0">
          <w:tblGrid>
            <w:gridCol w:w="1951"/>
            <w:gridCol w:w="2977"/>
            <w:gridCol w:w="2551"/>
            <w:gridCol w:w="2268"/>
          </w:tblGrid>
        </w:tblGridChange>
      </w:tblGrid>
      <w:tr>
        <w:trPr>
          <w:cantSplit w:val="0"/>
          <w:tblHeader w:val="0"/>
        </w:trPr>
        <w:tc>
          <w:tcPr>
            <w:vAlign w:val="top"/>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Рейтинг</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результатив-ності</w:t>
            </w:r>
            <w:r w:rsidDel="00000000" w:rsidR="00000000" w:rsidRPr="00000000">
              <w:rPr>
                <w:rtl w:val="0"/>
              </w:rPr>
            </w:r>
          </w:p>
        </w:tc>
        <w:tc>
          <w:tcPr>
            <w:vAlign w:val="top"/>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Вигоди (підсумок)</w:t>
            </w:r>
            <w:r w:rsidDel="00000000" w:rsidR="00000000" w:rsidRPr="00000000">
              <w:rPr>
                <w:rtl w:val="0"/>
              </w:rPr>
            </w:r>
          </w:p>
        </w:tc>
        <w:tc>
          <w:tcPr>
            <w:vAlign w:val="top"/>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Витрати (підсумок)</w:t>
            </w:r>
            <w:r w:rsidDel="00000000" w:rsidR="00000000" w:rsidRPr="00000000">
              <w:rPr>
                <w:rtl w:val="0"/>
              </w:rPr>
            </w:r>
          </w:p>
        </w:tc>
        <w:tc>
          <w:tcPr>
            <w:vAlign w:val="top"/>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Обгрунтування відповідного місця альтернативи в рейтингу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r>
      <w:tr>
        <w:trPr>
          <w:cantSplit w:val="0"/>
          <w:tblHeader w:val="0"/>
        </w:trPr>
        <w:tc>
          <w:tcPr>
            <w:vAlign w:val="top"/>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2</w:t>
            </w:r>
          </w:p>
        </w:tc>
        <w:tc>
          <w:tcPr>
            <w:vAlign w:val="top"/>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Дотримання  Сквирською міською радою вимог Закону України «Про місцеве самоврядування»</w:t>
            </w:r>
          </w:p>
        </w:tc>
        <w:tc>
          <w:tcPr>
            <w:vAlign w:val="top"/>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Витрати комунальних підприємств на сплату частини чистого прибутку (доходу). </w:t>
            </w:r>
          </w:p>
        </w:tc>
        <w:tc>
          <w:tcPr>
            <w:vAlign w:val="top"/>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Цей регуляторний акт відповідає потребам у розв’язанні визначеної проблеми та принципам державної регуляторної політики. Затвердження такого регуляторного акта забезпечить дотримання вимог чинного законодавства.</w:t>
            </w:r>
          </w:p>
        </w:tc>
      </w:tr>
      <w:tr>
        <w:trPr>
          <w:cantSplit w:val="0"/>
          <w:tblHeader w:val="0"/>
        </w:trPr>
        <w:tc>
          <w:tcPr>
            <w:vAlign w:val="top"/>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1</w:t>
            </w:r>
          </w:p>
        </w:tc>
        <w:tc>
          <w:tcPr>
            <w:vAlign w:val="top"/>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Порушуються вимоги Закону України «Про місцеве самоврядування» в частині встановлення відрахування частини чистого прибутку (доходу).</w:t>
            </w:r>
          </w:p>
        </w:tc>
        <w:tc>
          <w:tcPr>
            <w:vAlign w:val="top"/>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Відсутні </w:t>
            </w:r>
          </w:p>
        </w:tc>
        <w:tc>
          <w:tcPr>
            <w:vAlign w:val="top"/>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Порушуються вимоги чинного законодавства в частині обов’язкового встановлення відрахування частини чистого прибутку.</w:t>
            </w:r>
          </w:p>
        </w:tc>
      </w:tr>
    </w:tb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8"/>
        <w:tblW w:w="983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49"/>
        <w:gridCol w:w="4101"/>
        <w:gridCol w:w="3782"/>
        <w:tblGridChange w:id="0">
          <w:tblGrid>
            <w:gridCol w:w="1949"/>
            <w:gridCol w:w="4101"/>
            <w:gridCol w:w="3782"/>
          </w:tblGrid>
        </w:tblGridChange>
      </w:tblGrid>
      <w:tr>
        <w:trPr>
          <w:cantSplit w:val="0"/>
          <w:tblHeader w:val="0"/>
        </w:trPr>
        <w:tc>
          <w:tcPr>
            <w:vAlign w:val="top"/>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Рейтинг</w:t>
            </w:r>
            <w:r w:rsidDel="00000000" w:rsidR="00000000" w:rsidRPr="00000000">
              <w:rPr>
                <w:rtl w:val="0"/>
              </w:rPr>
            </w:r>
          </w:p>
        </w:tc>
        <w:tc>
          <w:tcPr>
            <w:vAlign w:val="top"/>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Аргументи щодо переваги обраної альтернативи/причини відмови від альтернативи</w:t>
            </w:r>
            <w:r w:rsidDel="00000000" w:rsidR="00000000" w:rsidRPr="00000000">
              <w:rPr>
                <w:rtl w:val="0"/>
              </w:rPr>
            </w:r>
          </w:p>
        </w:tc>
        <w:tc>
          <w:tcPr>
            <w:vAlign w:val="top"/>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Оцінка ризику впливу зовнішніх чинників на дію запропонованого регуляторного акта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vAlign w:val="top"/>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2</w:t>
            </w:r>
          </w:p>
        </w:tc>
        <w:tc>
          <w:tcPr>
            <w:vAlign w:val="top"/>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Даний регуляторний акт відповідає потребам у розв’язанні визначеної проблеми та принципам державної регуляторної політики. Перевага обраного виду обумовлена процесами, пов’язаними з використанням збалансованих інтересів комунальних підприємств. Прийняття зазначеного рівня відрахування частини чистого прибутку (доходу) забезпечить надходження до бюджету територіальної громади.</w:t>
            </w:r>
          </w:p>
        </w:tc>
        <w:tc>
          <w:tcPr>
            <w:vAlign w:val="top"/>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Зміни до чинного законодавства: Закону України «Про місце самоврядування в Україні»</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Бюджетного кодексу України;</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 інші закони.</w:t>
            </w:r>
          </w:p>
        </w:tc>
      </w:tr>
      <w:tr>
        <w:trPr>
          <w:cantSplit w:val="0"/>
          <w:tblHeader w:val="0"/>
        </w:trPr>
        <w:tc>
          <w:tcPr>
            <w:vAlign w:val="top"/>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Альтернатива 1</w:t>
            </w:r>
          </w:p>
        </w:tc>
        <w:tc>
          <w:tcPr>
            <w:vAlign w:val="top"/>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разі залишення ситуації без змін досягнення визначених цілей неможливе. </w:t>
            </w:r>
          </w:p>
        </w:tc>
        <w:tc>
          <w:tcPr>
            <w:vAlign w:val="top"/>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Зміни до чинного законодавства:</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Закону України «Про місце самоврядування в Україні»</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Бюджетного кодексу України;</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 інші закони.</w:t>
            </w:r>
          </w:p>
        </w:tc>
      </w:tr>
    </w:tbl>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Таким чином для реалізації обрано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Альтернативу 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встановлення відрахувань частини чистого прибутку (доходу) для комунальних підприємств, що забезпечить контроль за своєчасним та повним адмініструванням частини чистого прибутку (доходу), яке в свою чергу приведе до наповнення бюджету Сквирської міської територіальної громади.</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 Механізми та заходи, які забезпечать розв’язання визначеної проблеми</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Вирішення проблеми, зазначеної у пункті 1 цього аналізу, можливе лише шляхом нормативного закріплення нормативу відрахувань  комунальними підприємствами до бюджету Сквирської міської територіальної громади частини чистого прибутку  у відповідності із вимогами чинного законодавства. Інші альтернативні способи (механізми) є неефективними або недоцільними для досягнення поставленої мети або суперечитимуть вимогам чинного законодавства.</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здійсненні регуляторної діяльності розглядуються обґрунтовані пропозиції та зауваження до проєкту рішення, надані суб’єктами господарювання, представниками територіальної громади у встановленому порядку.</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Заходи, які мають здійснити органи влади для впровадження цього регуляторного акта:</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проєкту рішення Сквирської міської ради «Про затвердження порядку та нормативів відрахування частини чистого прибутку (доходу) комунальними підприємствами, що підлягає зарахуванню до бюджету Сквирської міської територіальної громади» та Аналізу регуляторного впливу до нього.</w:t>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консультацій з суб’єктами господарювання.</w:t>
      </w:r>
    </w:p>
    <w:p w:rsidR="00000000" w:rsidDel="00000000" w:rsidP="00000000" w:rsidRDefault="00000000" w:rsidRPr="00000000" w14:paraId="000000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Оприлюднення проєкту разом з Аналізом регуляторного впливу та отримання пропозицій та зауважень.</w:t>
      </w:r>
    </w:p>
    <w:p w:rsidR="00000000" w:rsidDel="00000000" w:rsidP="00000000" w:rsidRDefault="00000000" w:rsidRPr="00000000" w14:paraId="000000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Підготовка експертного висновку постійної відповідальної комісії щодо відповідальності проєкту рішення вимогам статей 4, 8 Закону України «Про засади державної регуляторної політики у сфері господарської діяльності».</w:t>
      </w:r>
    </w:p>
    <w:p w:rsidR="00000000" w:rsidDel="00000000" w:rsidP="00000000" w:rsidRDefault="00000000" w:rsidRPr="00000000" w14:paraId="000000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Отримання пропозицій по удосконаленню від Державної регуляторної служби України.</w:t>
      </w:r>
    </w:p>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Прийняття рішення на  засіданні міської ради.</w:t>
      </w:r>
    </w:p>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Оприлюднення рішення в установленому законодавством порядку.</w:t>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41"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заходів з відстеження результативності прийнятого рішення.</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Таким чином, упровадження регуляторного акта забезпечить дотримання норм чинного законодавства як органами місцевого самоврядування, так і комунальними підприємствами на умовах, визначеним Законом України «Про місцеве самоврядування» та цим регуляторним актом.</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зв’язку з тим, що суб’єкти господарювання, на яких поширюється дія регуляторного акта відносяться до суб’єктів малого підприємництва здійснено розрахунок на запровадження державного регулювання для суб’єктів малого підприємництва додаток до аналізу впливу регуляторного акта (Тест малого підприємництва (М-Тест)).</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VII. Обґрунтування запропонованого строку дії регуляторного акта</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Строк дії запропонованого регуляторного акта встановлюється на необмежений термін. Проте, в разі внесення змін до чинного законодавства на державному рівні, що впливатимуть дію даного регуляторного акта, до нього будуть вноситись відповідні коригування.</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VIII. Визначення показників результативності дії </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Досягнення визначених цілей шляхом виконання вимог нового регуляторного акта принесе вигоди без необхідності залучення додаткових витрат органів місцевого самоврядування.</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Виходять з цілей державного регулювання, визначених у другому розділі Аналізу регуляторного впливу для відстеження результативності регуляторного акта слід визначити не менше ніж три кількісних показника, які безпосередньо характеризують результативність дії регуляторного акта, та які підлягають контролю (відстеження результативності).</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Для відстеження результативності дії регуляторного акта основними є такі показники:</w:t>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51" w:right="-141" w:hanging="14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сума надходжень до бюджету територіальної громади частини чистого прибутку (доходу) господарськими організаціями, які належать до комунальної власності, тис.грн.;</w:t>
      </w:r>
    </w:p>
    <w:p w:rsidR="00000000" w:rsidDel="00000000" w:rsidP="00000000" w:rsidRDefault="00000000" w:rsidRPr="00000000" w14:paraId="000000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51" w:right="-141" w:hanging="14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кількість суб’єктів господарювання на яких поширюватиметься дія акта;</w:t>
      </w:r>
    </w:p>
    <w:p w:rsidR="00000000" w:rsidDel="00000000" w:rsidP="00000000" w:rsidRDefault="00000000" w:rsidRPr="00000000" w14:paraId="000000C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51" w:right="-141" w:hanging="14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розмір коштів, що визначатимуться суб’єктами господарювання, пов’язаними з виконанням вимог акту;</w:t>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51" w:right="-141" w:hanging="142.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рівень поінформованості суб’єктів господарювання з основних положень акта.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Прогнозні показники результативності </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r w:rsidDel="00000000" w:rsidR="00000000" w:rsidRPr="00000000">
        <w:rPr>
          <w:rtl w:val="0"/>
        </w:rPr>
      </w:r>
    </w:p>
    <w:tbl>
      <w:tblPr>
        <w:tblStyle w:val="Table9"/>
        <w:tblW w:w="964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4"/>
        <w:gridCol w:w="4974"/>
        <w:gridCol w:w="1688"/>
        <w:gridCol w:w="1276"/>
        <w:gridCol w:w="1176"/>
        <w:tblGridChange w:id="0">
          <w:tblGrid>
            <w:gridCol w:w="534"/>
            <w:gridCol w:w="4974"/>
            <w:gridCol w:w="1688"/>
            <w:gridCol w:w="1276"/>
            <w:gridCol w:w="1176"/>
          </w:tblGrid>
        </w:tblGridChange>
      </w:tblGrid>
      <w:tr>
        <w:trPr>
          <w:cantSplit w:val="0"/>
          <w:tblHeader w:val="0"/>
        </w:trPr>
        <w:tc>
          <w:tcPr>
            <w:vAlign w:val="top"/>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 показника</w:t>
            </w:r>
            <w:r w:rsidDel="00000000" w:rsidR="00000000" w:rsidRPr="00000000">
              <w:rPr>
                <w:rtl w:val="0"/>
              </w:rPr>
            </w:r>
          </w:p>
        </w:tc>
        <w:tc>
          <w:tcP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 перший рік </w:t>
            </w:r>
            <w:r w:rsidDel="00000000" w:rsidR="00000000" w:rsidRPr="00000000">
              <w:rPr>
                <w:rtl w:val="0"/>
              </w:rPr>
            </w:r>
          </w:p>
        </w:tc>
        <w:tc>
          <w:tcP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Періодичні (за наступний рік)</w:t>
            </w:r>
            <w:r w:rsidDel="00000000" w:rsidR="00000000" w:rsidRPr="00000000">
              <w:rPr>
                <w:rtl w:val="0"/>
              </w:rPr>
            </w:r>
          </w:p>
        </w:tc>
        <w:tc>
          <w:tcP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Витрати за п’ять років</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Надходження коштів до бюджету територіальної громади частини чистого прибутку (доходу) господарськими організаціями, які належать до комунальної власності  (тис. грн.)</w:t>
            </w:r>
          </w:p>
        </w:tc>
        <w:tc>
          <w:tcP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12915,0</w:t>
            </w:r>
          </w:p>
        </w:tc>
        <w:tc>
          <w:tcP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12950,0</w:t>
            </w:r>
          </w:p>
        </w:tc>
        <w:tc>
          <w:tcP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65000,0</w:t>
            </w:r>
          </w:p>
        </w:tc>
      </w:tr>
      <w:tr>
        <w:trPr>
          <w:cantSplit w:val="0"/>
          <w:tblHeader w:val="0"/>
        </w:trPr>
        <w:tc>
          <w:tcP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Кількість платників податку, на яких поширюватиметься регуляторний акт</w:t>
            </w:r>
          </w:p>
        </w:tc>
        <w:tc>
          <w:tcP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r>
      <w:tr>
        <w:trPr>
          <w:cantSplit w:val="0"/>
          <w:tblHeader w:val="0"/>
        </w:trPr>
        <w:tc>
          <w:tcP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Рівень поінформованості суб’єктів господарювання з основних положень акта</w:t>
            </w:r>
          </w:p>
        </w:tc>
        <w:tc>
          <w:tcP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Високий</w:t>
            </w:r>
          </w:p>
        </w:tc>
        <w:tc>
          <w:tcP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Високий</w:t>
            </w:r>
          </w:p>
        </w:tc>
        <w:tc>
          <w:tcP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Високий</w:t>
            </w:r>
          </w:p>
        </w:tc>
      </w:tr>
    </w:tb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IX. Визначення заходів, за допомогою яких здійснюватиметься відстеження результативності дії регуляторного акта</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Оцінка ефективності регуляторного акта буде здійснена за допомогою проведення базового, повторного відстеження результативності регуляторного акта.</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Відстеження результативності регуляторного акта буде проводитись статистичним методом згідно інформації фінансового управління Сквирської міської ради.</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Оскільки для визначення значень показників результативності регуляторного акта будуть використовуватись виключно статистичні дані, базове відстеження результативності буде здійснене після набрання чинності цим регуляторним актом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Повторне відстеження результативності планується здійснити через 1 рік після набуття чинності регуляторним актом.</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У рамках статистичного методу відстеження аналіз офіційної статистичної інформації буде проводитися щодо розміру надходжень до бюджету міської територіальної громади та кількості осіб, на яких поширюватиметься дія акта.</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ТЕСТ</w:t>
        <w:br w:type="textWrapping"/>
        <w:t xml:space="preserve">малого підприємництва (М-Тест)</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ab/>
        <w:t xml:space="preserve">Консультації з представниками малого підприємництва щодо оцінки впливу регулювання</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розробником у період з “ 23” червня    2022 р. по “27 ” червня  2022 р.</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0"/>
        <w:tblW w:w="1003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9"/>
        <w:gridCol w:w="3580"/>
        <w:gridCol w:w="1742"/>
        <w:gridCol w:w="3750"/>
        <w:tblGridChange w:id="0">
          <w:tblGrid>
            <w:gridCol w:w="959"/>
            <w:gridCol w:w="3580"/>
            <w:gridCol w:w="1742"/>
            <w:gridCol w:w="3750"/>
          </w:tblGrid>
        </w:tblGridChange>
      </w:tblGrid>
      <w:tr>
        <w:trPr>
          <w:cantSplit w:val="0"/>
          <w:tblHeader w:val="0"/>
        </w:trPr>
        <w:tc>
          <w:tcP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Порядковий номер</w:t>
            </w:r>
            <w:r w:rsidDel="00000000" w:rsidR="00000000" w:rsidRPr="00000000">
              <w:rPr>
                <w:rtl w:val="0"/>
              </w:rPr>
            </w:r>
          </w:p>
        </w:tc>
        <w:tc>
          <w:tcPr>
            <w:vAlign w:val="top"/>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r w:rsidDel="00000000" w:rsidR="00000000" w:rsidRPr="00000000">
              <w:rPr>
                <w:rtl w:val="0"/>
              </w:rPr>
            </w:r>
          </w:p>
        </w:tc>
        <w:tc>
          <w:tcPr>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Кількість учасників консультацій, осіб</w:t>
            </w:r>
            <w:r w:rsidDel="00000000" w:rsidR="00000000" w:rsidRPr="00000000">
              <w:rPr>
                <w:rtl w:val="0"/>
              </w:rPr>
            </w:r>
          </w:p>
        </w:tc>
        <w:tc>
          <w:tcP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Основні результати консультацій (опис)</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Консультації в усному режимі</w:t>
            </w:r>
          </w:p>
        </w:tc>
        <w:tc>
          <w:tcPr>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top"/>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Доведено до відома основні аспекти проєкту регуляторного акта, надані роз’яснення щодо розміру відрахувань частини чистого прибутку (доходу), який пропонується затвердити.</w:t>
            </w:r>
          </w:p>
        </w:tc>
      </w:tr>
      <w:tr>
        <w:trPr>
          <w:cantSplit w:val="0"/>
          <w:tblHeader w:val="0"/>
        </w:trPr>
        <w:tc>
          <w:tcPr>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Соціальні мережі</w:t>
            </w:r>
          </w:p>
        </w:tc>
        <w:tc>
          <w:tcPr>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регуляторного акта  та аналіз регуляторного впливу до нього розміщено на офіційному сайті Сквирської міської ради </w:t>
            </w:r>
          </w:p>
        </w:tc>
      </w:tr>
    </w:tbl>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Вимірювання впливу регулювання на суб’єктів малого підприємництва (мікро- та малі):</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кількість суб’єктів малого підприємництва, на яких поширюється регулювання: 6 (одиниць), у тому числі малого підприємництва 6 (одиниць);</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питома вага суб’єктів малого підприємництва у загальній кількості суб’єктів господарювання, на яких проблема справляє вплив 100 (відсотків) (відповідно до таблиці “Оцінка впливу на сферу інтересів суб’єктів господарювання” додатка 1 до Методики проведення аналізу впливу регуляторного акта).</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Розрахунок витрат суб’єктів малого підприємництва на виконання вимог регулювання</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tbl>
      <w:tblPr>
        <w:tblStyle w:val="Table11"/>
        <w:tblW w:w="964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08"/>
        <w:gridCol w:w="3900"/>
        <w:gridCol w:w="1980"/>
        <w:gridCol w:w="1080"/>
        <w:gridCol w:w="1080"/>
        <w:tblGridChange w:id="0">
          <w:tblGrid>
            <w:gridCol w:w="1608"/>
            <w:gridCol w:w="3900"/>
            <w:gridCol w:w="1980"/>
            <w:gridCol w:w="1080"/>
            <w:gridCol w:w="1080"/>
          </w:tblGrid>
        </w:tblGridChange>
      </w:tblGrid>
      <w:tr>
        <w:trPr>
          <w:cantSplit w:val="0"/>
          <w:tblHeader w:val="0"/>
        </w:trPr>
        <w:tc>
          <w:tcPr>
            <w:vAlign w:val="top"/>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Порядковий номер</w:t>
            </w:r>
            <w:r w:rsidDel="00000000" w:rsidR="00000000" w:rsidRPr="00000000">
              <w:rPr>
                <w:rtl w:val="0"/>
              </w:rPr>
            </w:r>
          </w:p>
        </w:tc>
        <w:tc>
          <w:tcPr>
            <w:vAlign w:val="top"/>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оцінки</w:t>
            </w:r>
            <w:r w:rsidDel="00000000" w:rsidR="00000000" w:rsidRPr="00000000">
              <w:rPr>
                <w:rtl w:val="0"/>
              </w:rPr>
            </w:r>
          </w:p>
        </w:tc>
        <w:tc>
          <w:tcP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 перший рік </w:t>
            </w:r>
            <w:r w:rsidDel="00000000" w:rsidR="00000000" w:rsidRPr="00000000">
              <w:rPr>
                <w:rtl w:val="0"/>
              </w:rPr>
            </w:r>
          </w:p>
        </w:tc>
        <w:tc>
          <w:tcP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Періодичні (за наступний рік)</w:t>
            </w:r>
            <w:r w:rsidDel="00000000" w:rsidR="00000000" w:rsidRPr="00000000">
              <w:rPr>
                <w:rtl w:val="0"/>
              </w:rPr>
            </w:r>
          </w:p>
        </w:tc>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Витрати за п’ять років</w:t>
            </w:r>
            <w:r w:rsidDel="00000000" w:rsidR="00000000" w:rsidRPr="00000000">
              <w:rPr>
                <w:rtl w:val="0"/>
              </w:rPr>
            </w:r>
          </w:p>
        </w:tc>
      </w:tr>
      <w:tr>
        <w:trPr>
          <w:cantSplit w:val="0"/>
          <w:tblHeader w:val="0"/>
        </w:trPr>
        <w:tc>
          <w:tcPr>
            <w:gridSpan w:val="5"/>
            <w:vAlign w:val="top"/>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Оцінка „прямих” витрат суб’єктів малого підприємництва на виконання регулювання</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Придбання необхідного обладнання (пристроїв, машин, механізмів</w:t>
            </w:r>
          </w:p>
        </w:tc>
        <w:tc>
          <w:tcP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rPr>
          <w:cantSplit w:val="0"/>
          <w:tblHeader w:val="0"/>
        </w:trPr>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Процедури повірки та/або постановки на відповідний облік у визначеному органі державної влади чи місцевого самоврядування</w:t>
            </w:r>
          </w:p>
        </w:tc>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rPr>
          <w:cantSplit w:val="0"/>
          <w:tblHeader w:val="0"/>
        </w:trPr>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Процедури експлуатації обладнання (експлуатаційні витрати – витратні матеріали)</w:t>
            </w:r>
          </w:p>
        </w:tc>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rPr>
          <w:cantSplit w:val="0"/>
          <w:tblHeader w:val="0"/>
        </w:trPr>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top"/>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Процедури обслуговування обладнання (технічне обслуговування)</w:t>
            </w:r>
          </w:p>
        </w:tc>
        <w:tc>
          <w:tcPr>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bottom w:color="000000" w:space="0" w:sz="4" w:val="single"/>
            </w:tcBorders>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tcBorders>
              <w:bottom w:color="000000" w:space="0" w:sz="4" w:val="single"/>
            </w:tcBorders>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rPr>
          <w:cantSplit w:val="0"/>
          <w:tblHeader w:val="0"/>
        </w:trPr>
        <w:tc>
          <w:tcPr>
            <w:shd w:fill="auto" w:val="clea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shd w:fill="auto" w:val="clear"/>
            <w:vAlign w:val="top"/>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процедури (уточнити)</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-сплата податку</w:t>
            </w:r>
          </w:p>
        </w:tc>
        <w:tc>
          <w:tcPr>
            <w:shd w:fill="auto" w:val="clear"/>
            <w:vAlign w:val="top"/>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12915,0</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(розрахована сума сплати частини розміру відрахувань частини чистого прибутку (доходу) за умови встановлення згідно запропонованого проєкту по 6 підприємствам)</w:t>
            </w:r>
          </w:p>
        </w:tc>
        <w:tc>
          <w:tcPr>
            <w:shd w:fill="ffffff" w:val="clear"/>
            <w:vAlign w:val="top"/>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12950,0</w:t>
            </w:r>
          </w:p>
        </w:tc>
        <w:tc>
          <w:tcPr>
            <w:tcBorders>
              <w:bottom w:color="000000" w:space="0" w:sz="4" w:val="single"/>
            </w:tcBorders>
            <w:vAlign w:val="top"/>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65000,0</w:t>
            </w:r>
          </w:p>
        </w:tc>
      </w:tr>
      <w:tr>
        <w:trPr>
          <w:cantSplit w:val="0"/>
          <w:tblHeader w:val="0"/>
        </w:trPr>
        <w:tc>
          <w:tcPr>
            <w:shd w:fill="auto" w:val="clea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auto" w:val="clear"/>
            <w:vAlign w:val="top"/>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Разом, гривень</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Формула:</w:t>
              <w:br w:type="textWrapping"/>
              <w:t xml:space="preserve">(сума рядків 1 + 2 + 3 + 4 + 5)</w:t>
            </w:r>
            <w:r w:rsidDel="00000000" w:rsidR="00000000" w:rsidRPr="00000000">
              <w:rPr>
                <w:rtl w:val="0"/>
              </w:rPr>
            </w:r>
          </w:p>
        </w:tc>
        <w:tc>
          <w:tcPr>
            <w:shd w:fill="auto" w:val="clea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12915,0</w:t>
            </w:r>
          </w:p>
        </w:tc>
        <w:tc>
          <w:tcPr>
            <w:shd w:fill="auto" w:val="clea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12950,0</w:t>
            </w:r>
          </w:p>
        </w:tc>
        <w:tc>
          <w:tcPr>
            <w:shd w:fill="ffffff" w:val="clear"/>
            <w:vAlign w:val="cente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65000,0</w:t>
            </w:r>
          </w:p>
        </w:tc>
      </w:tr>
      <w:tr>
        <w:trPr>
          <w:cantSplit w:val="0"/>
          <w:tblHeader w:val="0"/>
        </w:trPr>
        <w:tc>
          <w:tcPr>
            <w:vAlign w:val="cente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top"/>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Кількість суб’єктів господарювання, що повинні виконати вимоги регулювання, одиниць</w:t>
            </w:r>
          </w:p>
        </w:tc>
        <w:tc>
          <w:tcPr>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bottom w:color="000000" w:space="0" w:sz="4" w:val="single"/>
            </w:tcBorders>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r>
      <w:tr>
        <w:trPr>
          <w:cantSplit w:val="0"/>
          <w:tblHeader w:val="0"/>
        </w:trPr>
        <w:tc>
          <w:tcPr>
            <w:shd w:fill="auto" w:val="clear"/>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shd w:fill="auto" w:val="clear"/>
            <w:vAlign w:val="top"/>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Сумарно, гривень</w:t>
            </w:r>
          </w:p>
        </w:tc>
        <w:tc>
          <w:tcPr>
            <w:shd w:fill="auto" w:val="clear"/>
            <w:vAlign w:val="top"/>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12915,0</w:t>
            </w:r>
          </w:p>
        </w:tc>
        <w:tc>
          <w:tcPr>
            <w:shd w:fill="auto" w:val="clear"/>
            <w:vAlign w:val="top"/>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12950,0</w:t>
            </w:r>
          </w:p>
        </w:tc>
        <w:tc>
          <w:tcPr>
            <w:shd w:fill="ffffff" w:val="clear"/>
            <w:vAlign w:val="top"/>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65000,0</w:t>
            </w:r>
          </w:p>
        </w:tc>
      </w:tr>
      <w:tr>
        <w:trPr>
          <w:cantSplit w:val="0"/>
          <w:tblHeader w:val="0"/>
        </w:trPr>
        <w:tc>
          <w:tcPr>
            <w:gridSpan w:val="5"/>
            <w:vAlign w:val="top"/>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Оцінка вартості адміністративних процедур суб’єктів малого підприємництва щодо виконання регулювання та звітування</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розрахунку використовується мінімально заробітна плата, що з 01.10. 2022 році становить 6700,0 грн.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та у погодинному розмірі 40,46 грн..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(Закон України „Про Державний бюджет України на 2022 рік”) </w:t>
            </w:r>
          </w:p>
        </w:tc>
      </w:tr>
      <w:tr>
        <w:trPr>
          <w:cantSplit w:val="0"/>
          <w:tblHeader w:val="0"/>
        </w:trPr>
        <w:tc>
          <w:tcPr>
            <w:vAlign w:val="cente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top"/>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Процедури отримання первинної інформації про вимоги регулювання</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Формула:</w:t>
              <w:br w:type="textWrapping"/>
              <w:t xml:space="preserve">витрати часу на отримання інформації про регулювання, отримання необхідних форм та заявок Х вартість часу суб’єкта малого підприємництва (заробітна плата) Х оціночна кількість форм</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0,25 год*40,46=10,12</w:t>
            </w:r>
            <w:r w:rsidDel="00000000" w:rsidR="00000000" w:rsidRPr="00000000">
              <w:rPr>
                <w:rtl w:val="0"/>
              </w:rPr>
            </w:r>
          </w:p>
        </w:tc>
        <w:tc>
          <w:tcP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10,12</w:t>
            </w:r>
          </w:p>
        </w:tc>
        <w:tc>
          <w:tcPr>
            <w:vAlign w:val="top"/>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Align w:val="top"/>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Процедури організації виконання вимог регулювання</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Формула:</w:t>
              <w:br w:type="textWrapping"/>
              <w:t xml:space="preserve">витрати часу на розроблення та впровадження внутрішніх для суб’єкта малого підприємництва процедур на впровадження вимог регулювання Х вартість часу суб’єкта малого підприємництва (заробітна плата) Х оціночна кількість внутрішніх процедур</w:t>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0,3год.* 40,46*12=145,66</w:t>
            </w:r>
            <w:r w:rsidDel="00000000" w:rsidR="00000000" w:rsidRPr="00000000">
              <w:rPr>
                <w:rtl w:val="0"/>
              </w:rPr>
            </w:r>
          </w:p>
        </w:tc>
        <w:tc>
          <w:tcPr>
            <w:vAlign w:val="center"/>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145,66</w:t>
            </w:r>
          </w:p>
        </w:tc>
        <w:tc>
          <w:tcPr>
            <w:vAlign w:val="center"/>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156,0</w:t>
            </w:r>
          </w:p>
        </w:tc>
        <w:tc>
          <w:tcPr>
            <w:vAlign w:val="center"/>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769,66</w:t>
            </w:r>
          </w:p>
        </w:tc>
      </w:tr>
      <w:tr>
        <w:trPr>
          <w:cantSplit w:val="0"/>
          <w:tblHeader w:val="0"/>
        </w:trPr>
        <w:tc>
          <w:tcPr>
            <w:vAlign w:val="cente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Align w:val="top"/>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Процедури офіційного звітування</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Формула:</w:t>
              <w:br w:type="textWrapping"/>
              <w:t xml:space="preserve">витрати часу на отримання інформації про порядок звітування щодо регулювання, отримання необхідних форм та визначення органу, що приймає звіти та місця звітності + витрати часу на заповнення звітних форм + витрати часу на передачу звітних форм (окремо за засобами передачі інформації з оцінкою кількості суб’єктів, що користуються формами засобів – окремо електронна звітність, звітність до органу, поштовим зв’язком тощо) + оцінка витрат часу на корегування (оцінка природного рівня помилок)) Х вартість часу суб’єкта малого підприємництва (заробітна плата) Х оціночна кількість оригінальних звітів Х кількість періодів звітності за рік</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(0,3+0,4+0,4) *40,46*4=178,02</w:t>
            </w:r>
            <w:r w:rsidDel="00000000" w:rsidR="00000000" w:rsidRPr="00000000">
              <w:rPr>
                <w:rtl w:val="0"/>
              </w:rPr>
            </w:r>
          </w:p>
        </w:tc>
        <w:tc>
          <w:tcPr>
            <w:vAlign w:val="center"/>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178,02</w:t>
            </w:r>
          </w:p>
        </w:tc>
        <w:tc>
          <w:tcPr>
            <w:vAlign w:val="center"/>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190,65</w:t>
            </w:r>
          </w:p>
        </w:tc>
        <w:tc>
          <w:tcPr>
            <w:vAlign w:val="center"/>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940,62</w:t>
            </w:r>
          </w:p>
        </w:tc>
      </w:tr>
      <w:tr>
        <w:trPr>
          <w:cantSplit w:val="0"/>
          <w:tblHeader w:val="0"/>
        </w:trPr>
        <w:tc>
          <w:tcPr>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Align w:val="top"/>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Процедури щодо забезпечення процесу перевірок</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Формула:</w:t>
              <w:br w:type="textWrapping"/>
              <w:t xml:space="preserve">витрати часу на забезпечення процесу перевірок з боку контролюючих органів Х вартість часу суб’єкта малого підприємництва (заробітна плата) Х оціночна кількість перевірок за рік</w:t>
            </w:r>
            <w:r w:rsidDel="00000000" w:rsidR="00000000" w:rsidRPr="00000000">
              <w:rPr>
                <w:rtl w:val="0"/>
              </w:rPr>
            </w:r>
          </w:p>
        </w:tc>
        <w:tc>
          <w:tcPr>
            <w:vAlign w:val="cente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Відсутні (перевірка відбувається податковим інспектором)</w:t>
            </w:r>
          </w:p>
        </w:tc>
        <w:tc>
          <w:tcPr>
            <w:vAlign w:val="cente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Align w:val="center"/>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rPr>
          <w:cantSplit w:val="0"/>
          <w:tblHeader w:val="0"/>
        </w:trPr>
        <w:tc>
          <w:tcPr>
            <w:vAlign w:val="cente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Align w:val="top"/>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процедури (уточнити)</w:t>
            </w:r>
          </w:p>
        </w:tc>
        <w:tc>
          <w:tcPr>
            <w:vAlign w:val="top"/>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vAlign w:val="top"/>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Разом, гривень</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Формула:</w:t>
              <w:br w:type="textWrapping"/>
              <w:t xml:space="preserve">(сума рядків 9 + 10 + 11 + 12 + 13)</w:t>
            </w:r>
            <w:r w:rsidDel="00000000" w:rsidR="00000000" w:rsidRPr="00000000">
              <w:rPr>
                <w:rtl w:val="0"/>
              </w:rPr>
            </w:r>
          </w:p>
        </w:tc>
        <w:tc>
          <w:tcPr>
            <w:vAlign w:val="cente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333,8</w:t>
            </w:r>
          </w:p>
        </w:tc>
        <w:tc>
          <w:tcPr>
            <w:vAlign w:val="center"/>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346,65</w:t>
            </w:r>
          </w:p>
        </w:tc>
        <w:tc>
          <w:tcPr>
            <w:vAlign w:val="center"/>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1001,45</w:t>
            </w:r>
          </w:p>
        </w:tc>
      </w:tr>
      <w:tr>
        <w:trPr>
          <w:cantSplit w:val="0"/>
          <w:tblHeader w:val="0"/>
        </w:trPr>
        <w:tc>
          <w:tcPr>
            <w:vAlign w:val="center"/>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vAlign w:val="top"/>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Кількість суб’єктів малого підприємництва, що повинні виконати вимоги регулювання, одиниць</w:t>
            </w:r>
          </w:p>
        </w:tc>
        <w:tc>
          <w:tcPr>
            <w:vAlign w:val="center"/>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r>
      <w:tr>
        <w:trPr>
          <w:cantSplit w:val="0"/>
          <w:tblHeader w:val="0"/>
        </w:trPr>
        <w:tc>
          <w:tcPr>
            <w:vAlign w:val="center"/>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vAlign w:val="top"/>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Сумарно, гривень</w:t>
              <w:br w:type="textWrapping"/>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Формула:</w:t>
              <w:br w:type="textWrapping"/>
              <w:t xml:space="preserve">відповідний стовпчик “разом” Х кількість суб’єктів малого підприємництва, що повинні виконати вимоги регулювання (рядок 14 Х рядок 15)</w:t>
            </w:r>
            <w:r w:rsidDel="00000000" w:rsidR="00000000" w:rsidRPr="00000000">
              <w:rPr>
                <w:rtl w:val="0"/>
              </w:rPr>
            </w:r>
          </w:p>
        </w:tc>
        <w:tc>
          <w:tcPr>
            <w:vAlign w:val="cente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2002,8</w:t>
            </w:r>
          </w:p>
        </w:tc>
        <w:tc>
          <w:tcPr>
            <w:vAlign w:val="center"/>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2079,9</w:t>
            </w:r>
          </w:p>
        </w:tc>
        <w:tc>
          <w:tcPr>
            <w:vAlign w:val="center"/>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10322,4</w:t>
            </w:r>
          </w:p>
        </w:tc>
      </w:tr>
    </w:tbl>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Бюджетні витрати на адміністрування регулювання для суб’єктів великого і середнього підприємництва</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Державне регулювання не передбачає утворення нового державного органу (або нового структурного підрозділу діючого органу).</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Витрати на запровадження державного регулювання по відрахуванню частини чистого прибутку господарськими організаціями, які належать до комунальної власності, які будуть виконувати вимоги цього регуляторного акту, розрахунок витрат на перевірки, ведення обліку, подання звітності державним органам не здійснюються. Органи місцевого самоврядування наділені повноваженнями встановлювати норматив відрахувань частини чистого прибутку господарськими організаціями, які належать до комунальної власності.</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Розрахунок сумарних витрат суб’єктів малого підприємництва, що виникають на виконання вимог регулювання</w:t>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highlight w:val="yellow"/>
          <w:u w:val="none"/>
          <w:vertAlign w:val="baseline"/>
        </w:rPr>
      </w:pPr>
      <w:r w:rsidDel="00000000" w:rsidR="00000000" w:rsidRPr="00000000">
        <w:rPr>
          <w:rtl w:val="0"/>
        </w:rPr>
      </w:r>
    </w:p>
    <w:tbl>
      <w:tblPr>
        <w:tblStyle w:val="Table12"/>
        <w:tblW w:w="989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8"/>
        <w:gridCol w:w="3240"/>
        <w:gridCol w:w="2464"/>
        <w:gridCol w:w="2464"/>
        <w:tblGridChange w:id="0">
          <w:tblGrid>
            <w:gridCol w:w="1728"/>
            <w:gridCol w:w="3240"/>
            <w:gridCol w:w="2464"/>
            <w:gridCol w:w="2464"/>
          </w:tblGrid>
        </w:tblGridChange>
      </w:tblGrid>
      <w:tr>
        <w:trPr>
          <w:cantSplit w:val="0"/>
          <w:tblHeader w:val="0"/>
        </w:trPr>
        <w:tc>
          <w:tcPr>
            <w:vAlign w:val="cente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Порядковий номер</w:t>
            </w:r>
            <w:r w:rsidDel="00000000" w:rsidR="00000000" w:rsidRPr="00000000">
              <w:rPr>
                <w:rtl w:val="0"/>
              </w:rPr>
            </w:r>
          </w:p>
        </w:tc>
        <w:tc>
          <w:tcPr>
            <w:vAlign w:val="cente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Показник</w:t>
            </w:r>
            <w:r w:rsidDel="00000000" w:rsidR="00000000" w:rsidRPr="00000000">
              <w:rPr>
                <w:rtl w:val="0"/>
              </w:rPr>
            </w:r>
          </w:p>
        </w:tc>
        <w:tc>
          <w:tcPr>
            <w:vAlign w:val="center"/>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Перший рік регулювання (стартовий)</w:t>
            </w:r>
            <w:r w:rsidDel="00000000" w:rsidR="00000000" w:rsidRPr="00000000">
              <w:rPr>
                <w:rtl w:val="0"/>
              </w:rPr>
            </w:r>
          </w:p>
        </w:tc>
        <w:tc>
          <w:tcPr>
            <w:vAlign w:val="cente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 п’ять років</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Оцінка “прямих” витрат суб’єктів малого підприємництва на виконання регулювання</w:t>
            </w:r>
          </w:p>
        </w:tc>
        <w:tc>
          <w:tcPr>
            <w:vAlign w:val="cente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12915,0 грн.</w:t>
            </w:r>
          </w:p>
        </w:tc>
        <w:tc>
          <w:tcPr>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65000,0 грн</w:t>
            </w:r>
          </w:p>
        </w:tc>
      </w:tr>
      <w:tr>
        <w:trPr>
          <w:cantSplit w:val="0"/>
          <w:tblHeader w:val="0"/>
        </w:trPr>
        <w:tc>
          <w:tcPr>
            <w:vAlign w:val="cente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Оцінка вартості адміністративних процедур для суб’єктів малого підприємництва щодо виконання регулювання та звітування</w:t>
            </w:r>
          </w:p>
        </w:tc>
        <w:tc>
          <w:tcPr>
            <w:vAlign w:val="cente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2002,8грн.</w:t>
            </w:r>
          </w:p>
        </w:tc>
        <w:tc>
          <w:tcPr>
            <w:vAlign w:val="center"/>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10322,4грн</w:t>
            </w:r>
          </w:p>
        </w:tc>
      </w:tr>
      <w:tr>
        <w:trPr>
          <w:cantSplit w:val="0"/>
          <w:tblHeader w:val="0"/>
        </w:trPr>
        <w:tc>
          <w:tcPr>
            <w:vAlign w:val="cente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Сумарні витрати малого підприємництва на виконання запланованого регулювання</w:t>
            </w:r>
          </w:p>
        </w:tc>
        <w:tc>
          <w:tcPr>
            <w:vAlign w:val="cente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14917,8 грн.</w:t>
            </w:r>
          </w:p>
        </w:tc>
        <w:tc>
          <w:tcPr>
            <w:vAlign w:val="center"/>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75322,4 грн</w:t>
            </w:r>
          </w:p>
        </w:tc>
      </w:tr>
      <w:tr>
        <w:trPr>
          <w:cantSplit w:val="0"/>
          <w:tblHeader w:val="0"/>
        </w:trPr>
        <w:tc>
          <w:tcPr>
            <w:vAlign w:val="cente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Бюджетні витрати на адміністрування регулювання суб’єктів малого підприємництва</w:t>
            </w:r>
          </w:p>
        </w:tc>
        <w:tc>
          <w:tcPr>
            <w:vAlign w:val="cente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vAlign w:val="center"/>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rPr>
          <w:cantSplit w:val="0"/>
          <w:tblHeader w:val="0"/>
        </w:trPr>
        <w:tc>
          <w:tcPr>
            <w:vAlign w:val="center"/>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Сумарні витрати на виконання запланованого регулювання</w:t>
            </w:r>
          </w:p>
        </w:tc>
        <w:tc>
          <w:tcPr>
            <w:vAlign w:val="cente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14917,8 грн.</w:t>
            </w:r>
          </w:p>
        </w:tc>
        <w:tc>
          <w:tcPr>
            <w:vAlign w:val="cente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75322,4 грн</w:t>
            </w:r>
          </w:p>
        </w:tc>
      </w:tr>
    </w:tbl>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Розроблення коригуючих (пом’якшувальних) заходів для малого підприємництва щодо запропонованого регулювання</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Коригуючі (пом’якшувальні) заходи не розроблялись, оскільки запропонованим регуляторним актом не передбачено здійснення особами, додаткових витрат.</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На основі сумарних витрат за рік впровадження регуляторного акта забезпечить стабільні надходження до бюджету Сквирської міської територіальної громади, а це в свою чергу забезпечить фінансування бюджетних програм та виконання вимог Бюджетного кодексу України.</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 xml:space="preserve">                                          </w:t>
        <w:tab/>
        <w:t xml:space="preserve">   Валентина ЛЕВІЦЬКА</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sectPr>
      <w:pgSz w:h="16838" w:w="11906" w:orient="portrait"/>
      <w:pgMar w:bottom="993" w:top="851" w:left="1440" w:right="85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7"/>
      <w:numFmt w:val="bullet"/>
      <w:lvlText w:val="-"/>
      <w:lvlJc w:val="left"/>
      <w:pPr>
        <w:ind w:left="1425" w:hanging="360"/>
      </w:pPr>
      <w:rPr>
        <w:rFonts w:ascii="Times New Roman" w:cs="Times New Roman" w:eastAsia="Times New Roman" w:hAnsi="Times New Roman"/>
        <w:vertAlign w:val="baseline"/>
      </w:rPr>
    </w:lvl>
    <w:lvl w:ilvl="1">
      <w:start w:val="1"/>
      <w:numFmt w:val="bullet"/>
      <w:lvlText w:val="o"/>
      <w:lvlJc w:val="left"/>
      <w:pPr>
        <w:ind w:left="2145" w:hanging="360"/>
      </w:pPr>
      <w:rPr>
        <w:rFonts w:ascii="Courier New" w:cs="Courier New" w:eastAsia="Courier New" w:hAnsi="Courier New"/>
        <w:vertAlign w:val="baseline"/>
      </w:rPr>
    </w:lvl>
    <w:lvl w:ilvl="2">
      <w:start w:val="1"/>
      <w:numFmt w:val="bullet"/>
      <w:lvlText w:val="▪"/>
      <w:lvlJc w:val="left"/>
      <w:pPr>
        <w:ind w:left="2865" w:hanging="360"/>
      </w:pPr>
      <w:rPr>
        <w:rFonts w:ascii="Noto Sans Symbols" w:cs="Noto Sans Symbols" w:eastAsia="Noto Sans Symbols" w:hAnsi="Noto Sans Symbols"/>
        <w:vertAlign w:val="baseline"/>
      </w:rPr>
    </w:lvl>
    <w:lvl w:ilvl="3">
      <w:start w:val="1"/>
      <w:numFmt w:val="bullet"/>
      <w:lvlText w:val="●"/>
      <w:lvlJc w:val="left"/>
      <w:pPr>
        <w:ind w:left="3585" w:hanging="360"/>
      </w:pPr>
      <w:rPr>
        <w:rFonts w:ascii="Noto Sans Symbols" w:cs="Noto Sans Symbols" w:eastAsia="Noto Sans Symbols" w:hAnsi="Noto Sans Symbols"/>
        <w:vertAlign w:val="baseline"/>
      </w:rPr>
    </w:lvl>
    <w:lvl w:ilvl="4">
      <w:start w:val="1"/>
      <w:numFmt w:val="bullet"/>
      <w:lvlText w:val="o"/>
      <w:lvlJc w:val="left"/>
      <w:pPr>
        <w:ind w:left="4305" w:hanging="360"/>
      </w:pPr>
      <w:rPr>
        <w:rFonts w:ascii="Courier New" w:cs="Courier New" w:eastAsia="Courier New" w:hAnsi="Courier New"/>
        <w:vertAlign w:val="baseline"/>
      </w:rPr>
    </w:lvl>
    <w:lvl w:ilvl="5">
      <w:start w:val="1"/>
      <w:numFmt w:val="bullet"/>
      <w:lvlText w:val="▪"/>
      <w:lvlJc w:val="left"/>
      <w:pPr>
        <w:ind w:left="5025" w:hanging="360"/>
      </w:pPr>
      <w:rPr>
        <w:rFonts w:ascii="Noto Sans Symbols" w:cs="Noto Sans Symbols" w:eastAsia="Noto Sans Symbols" w:hAnsi="Noto Sans Symbols"/>
        <w:vertAlign w:val="baseline"/>
      </w:rPr>
    </w:lvl>
    <w:lvl w:ilvl="6">
      <w:start w:val="1"/>
      <w:numFmt w:val="bullet"/>
      <w:lvlText w:val="●"/>
      <w:lvlJc w:val="left"/>
      <w:pPr>
        <w:ind w:left="5745" w:hanging="360"/>
      </w:pPr>
      <w:rPr>
        <w:rFonts w:ascii="Noto Sans Symbols" w:cs="Noto Sans Symbols" w:eastAsia="Noto Sans Symbols" w:hAnsi="Noto Sans Symbols"/>
        <w:vertAlign w:val="baseline"/>
      </w:rPr>
    </w:lvl>
    <w:lvl w:ilvl="7">
      <w:start w:val="1"/>
      <w:numFmt w:val="bullet"/>
      <w:lvlText w:val="o"/>
      <w:lvlJc w:val="left"/>
      <w:pPr>
        <w:ind w:left="6465" w:hanging="360"/>
      </w:pPr>
      <w:rPr>
        <w:rFonts w:ascii="Courier New" w:cs="Courier New" w:eastAsia="Courier New" w:hAnsi="Courier New"/>
        <w:vertAlign w:val="baseline"/>
      </w:rPr>
    </w:lvl>
    <w:lvl w:ilvl="8">
      <w:start w:val="1"/>
      <w:numFmt w:val="bullet"/>
      <w:lvlText w:val="▪"/>
      <w:lvlJc w:val="left"/>
      <w:pPr>
        <w:ind w:left="7185"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both"/>
      <w:textDirection w:val="btLr"/>
      <w:textAlignment w:val="top"/>
      <w:outlineLvl w:val="0"/>
    </w:pPr>
    <w:rPr>
      <w:b w:val="1"/>
      <w:bCs w:val="1"/>
      <w:w w:val="100"/>
      <w:position w:val="-1"/>
      <w:sz w:val="24"/>
      <w:szCs w:val="24"/>
      <w:effect w:val="none"/>
      <w:vertAlign w:val="baseline"/>
      <w:cs w:val="0"/>
      <w:em w:val="none"/>
      <w:lang w:bidi="ar-SA" w:eastAsia="uk-UA" w:val="uk-UA"/>
    </w:rPr>
  </w:style>
  <w:style w:type="paragraph" w:styleId="Заголовок2">
    <w:name w:val="Заголовок 2"/>
    <w:basedOn w:val="Обычный"/>
    <w:next w:val="Обычный"/>
    <w:autoRedefine w:val="0"/>
    <w:hidden w:val="0"/>
    <w:qFormat w:val="0"/>
    <w:pPr>
      <w:keepNext w:val="1"/>
      <w:suppressAutoHyphens w:val="1"/>
      <w:spacing w:after="60" w:before="240" w:line="1" w:lineRule="atLeast"/>
      <w:ind w:leftChars="-1" w:rightChars="0" w:firstLineChars="-1"/>
      <w:textDirection w:val="btLr"/>
      <w:textAlignment w:val="top"/>
      <w:outlineLvl w:val="1"/>
    </w:pPr>
    <w:rPr>
      <w:rFonts w:ascii="Arial" w:cs="Arial" w:hAnsi="Arial"/>
      <w:b w:val="1"/>
      <w:bCs w:val="1"/>
      <w:i w:val="1"/>
      <w:iCs w:val="1"/>
      <w:w w:val="100"/>
      <w:position w:val="-1"/>
      <w:sz w:val="28"/>
      <w:szCs w:val="28"/>
      <w:effect w:val="none"/>
      <w:vertAlign w:val="baseline"/>
      <w:cs w:val="0"/>
      <w:em w:val="none"/>
      <w:lang w:bidi="ar-SA" w:eastAsia="uk-UA" w:val="uk-UA"/>
    </w:rPr>
  </w:style>
  <w:style w:type="paragraph" w:styleId="Заголовок3">
    <w:name w:val="Заголовок 3"/>
    <w:basedOn w:val="Обычный"/>
    <w:next w:val="Обычный"/>
    <w:autoRedefine w:val="0"/>
    <w:hidden w:val="0"/>
    <w:qFormat w:val="0"/>
    <w:pPr>
      <w:keepNext w:val="1"/>
      <w:suppressAutoHyphens w:val="1"/>
      <w:spacing w:after="60" w:before="240" w:line="1" w:lineRule="atLeast"/>
      <w:ind w:leftChars="-1" w:rightChars="0" w:firstLineChars="-1"/>
      <w:textDirection w:val="btLr"/>
      <w:textAlignment w:val="top"/>
      <w:outlineLvl w:val="2"/>
    </w:pPr>
    <w:rPr>
      <w:rFonts w:ascii="Arial" w:cs="Arial" w:hAnsi="Arial"/>
      <w:b w:val="1"/>
      <w:bCs w:val="1"/>
      <w:w w:val="100"/>
      <w:position w:val="-1"/>
      <w:sz w:val="26"/>
      <w:szCs w:val="26"/>
      <w:effect w:val="none"/>
      <w:vertAlign w:val="baseline"/>
      <w:cs w:val="0"/>
      <w:em w:val="none"/>
      <w:lang w:bidi="ar-SA" w:eastAsia="uk-UA" w:val="uk-UA"/>
    </w:rPr>
  </w:style>
  <w:style w:type="character" w:styleId="Основнойшрифтабзаца,ЗнакЗнакЗнакЗнакЗнакЗнакЗнакЗнак1ЗнакЗнакЗнакЗнакЗнакЗнакЗнакЗнакЗнакЗнакЗнакЗнакЗнакЗнакЗнакЗнакЗнакЗнак">
    <w:name w:val="Основной шрифт абзаца, Знак Знак Знак Знак Знак Знак Знак Знак1 Знак Знак Знак Знак Знак Знак Знак Знак Знак Знак Знак Знак Знак Знак Знак Знак Знак Знак"/>
    <w:next w:val="Основнойшрифтабзаца,ЗнакЗнакЗнакЗнакЗнакЗнакЗнакЗнак1ЗнакЗнакЗнакЗнакЗнакЗнакЗнакЗнакЗнакЗнакЗнакЗнакЗнакЗнакЗнакЗнакЗнакЗнак"/>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Обычнаятаблица"/>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line="1" w:lineRule="atLeast"/>
      <w:ind w:leftChars="-1" w:rightChars="0" w:firstLine="660" w:firstLineChars="-1"/>
      <w:jc w:val="both"/>
      <w:textDirection w:val="btLr"/>
      <w:textAlignment w:val="top"/>
      <w:outlineLvl w:val="0"/>
    </w:pPr>
    <w:rPr>
      <w:w w:val="100"/>
      <w:position w:val="-1"/>
      <w:sz w:val="24"/>
      <w:szCs w:val="24"/>
      <w:effect w:val="none"/>
      <w:vertAlign w:val="baseline"/>
      <w:cs w:val="0"/>
      <w:em w:val="none"/>
      <w:lang w:bidi="ar-SA" w:eastAsia="uk-UA" w:val="uk-UA"/>
    </w:r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4"/>
      <w:szCs w:val="24"/>
      <w:effect w:val="none"/>
      <w:vertAlign w:val="baseline"/>
      <w:cs w:val="0"/>
      <w:em w:val="none"/>
      <w:lang w:bidi="ar-SA" w:eastAsia="ru-RU" w:val="uk-UA"/>
    </w:r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ЗнакЗнакЗнакЗнакЗнакЗнакЗнакЗнак1ЗнакЗнакЗнакЗнакЗнакЗнакЗнакЗнакЗнакЗнакЗнакЗнакЗнакЗнакЗнакЗнак">
    <w:name w:val="Знак Знак Знак Знак Знак Знак Знак Знак1 Знак Знак Знак Знак Знак Знак Знак Знак Знак Знак Знак Знак Знак Знак Знак Знак"/>
    <w:basedOn w:val="Обычный"/>
    <w:next w:val="ЗнакЗнакЗнакЗнакЗнакЗнакЗнакЗнак1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CharЗнакЗнакCharЗнакЗнакCharЗнакЗнакCharЗнакЗнакЗнакЗнакЗнакЗнакЗнакЗнакЗнакЗнакЗнакЗнакЗнакЗнакЗнакЗнакЗнакЗнакЗнакЗнакЗнакЗнакЗнакЗнакЗнакЗнакЗнакЗнакЗнакЗнакЗнак">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Обычный"/>
    <w:next w:val="CharЗнакЗнакCharЗнакЗнакCharЗнакЗнакChar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Текствыноски,Знак">
    <w:name w:val="Текст выноски, Знак"/>
    <w:basedOn w:val="Обычный"/>
    <w:next w:val="Текствыноски,Знак"/>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k-UA" w:val="uk-UA"/>
    </w:rPr>
  </w:style>
  <w:style w:type="character" w:styleId="ТекствыноскиЗнак,ЗнакЗнак">
    <w:name w:val="Текст выноски Знак, Знак Знак"/>
    <w:next w:val="ТекствыноскиЗнак,ЗнакЗнак"/>
    <w:autoRedefine w:val="0"/>
    <w:hidden w:val="0"/>
    <w:qFormat w:val="0"/>
    <w:rPr>
      <w:rFonts w:ascii="Tahoma" w:cs="Tahoma" w:hAnsi="Tahoma"/>
      <w:w w:val="100"/>
      <w:position w:val="-1"/>
      <w:sz w:val="16"/>
      <w:szCs w:val="16"/>
      <w:effect w:val="none"/>
      <w:vertAlign w:val="baseline"/>
      <w:cs w:val="0"/>
      <w:em w:val="none"/>
      <w:lang w:eastAsia="uk-UA" w:val="uk-UA"/>
    </w:rPr>
  </w:style>
  <w:style w:type="paragraph" w:styleId="СтандартныйHTML">
    <w:name w:val="Стандартный HTML"/>
    <w:basedOn w:val="Обычный"/>
    <w:next w:val="СтандартныйHTML"/>
    <w:autoRedefine w:val="0"/>
    <w:hidden w:val="0"/>
    <w:qFormat w:val="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uppressAutoHyphens w:val="1"/>
      <w:spacing w:line="1" w:lineRule="atLeast"/>
      <w:ind w:leftChars="-1" w:rightChars="0" w:firstLineChars="-1"/>
      <w:textDirection w:val="btLr"/>
      <w:textAlignment w:val="top"/>
      <w:outlineLvl w:val="0"/>
    </w:pPr>
    <w:rPr>
      <w:rFonts w:ascii="Courier New" w:cs="Courier New" w:hAnsi="Courier New"/>
      <w:w w:val="100"/>
      <w:position w:val="-1"/>
      <w:sz w:val="20"/>
      <w:szCs w:val="20"/>
      <w:effect w:val="none"/>
      <w:vertAlign w:val="baseline"/>
      <w:cs w:val="0"/>
      <w:em w:val="none"/>
      <w:lang w:bidi="ar-SA" w:eastAsia="ru-RU" w:val="ru-RU"/>
    </w:rPr>
  </w:style>
  <w:style w:type="character" w:styleId="Стиль2">
    <w:name w:val="Стиль2"/>
    <w:basedOn w:val="Номерстроки"/>
    <w:next w:val="Стиль2"/>
    <w:autoRedefine w:val="0"/>
    <w:hidden w:val="0"/>
    <w:qFormat w:val="0"/>
    <w:rPr>
      <w:w w:val="100"/>
      <w:position w:val="-1"/>
      <w:effect w:val="none"/>
      <w:vertAlign w:val="baseline"/>
      <w:cs w:val="0"/>
      <w:em w:val="none"/>
      <w:lang/>
    </w:rPr>
  </w:style>
  <w:style w:type="character" w:styleId="Номерстроки">
    <w:name w:val="Номер строки"/>
    <w:basedOn w:val="Основнойшрифтабзаца,ЗнакЗнакЗнакЗнакЗнакЗнакЗнакЗнак1ЗнакЗнакЗнакЗнакЗнакЗнакЗнакЗнакЗнакЗнакЗнакЗнакЗнакЗнакЗнакЗнакЗнакЗнак"/>
    <w:next w:val="Номерстроки"/>
    <w:autoRedefine w:val="0"/>
    <w:hidden w:val="0"/>
    <w:qFormat w:val="0"/>
    <w:rPr>
      <w:w w:val="100"/>
      <w:position w:val="-1"/>
      <w:effect w:val="none"/>
      <w:vertAlign w:val="baseline"/>
      <w:cs w:val="0"/>
      <w:em w:val="none"/>
      <w:lang/>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uf0t7+7VPXfTmSqfHkqQRhXHow==">AMUW2mVkrc6w/saNeFzmMuErFxEJMtXlhpiRqKeL4TKneVh1Ok/bkh56cYhugnKrk7dU98kOq7k+jLHCFeOjEpX1Q15DrRVJ1xAxuYRw53ZZtlZUt5jCITytjOVNxronW5qpToK6nVzm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2022-02-08T08:59:00Z</dcterms:created>
  <dc:creator>УпрКомСобст</dc:creator>
</cp:coreProperties>
</file>